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E23" w:rsidRDefault="00CF1E23" w:rsidP="00CF1E23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Отзывы</w:t>
      </w:r>
    </w:p>
    <w:p w:rsidR="00CF1E23" w:rsidRDefault="00CF1E23" w:rsidP="00CF1E2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участников публичных консультаций</w:t>
      </w:r>
    </w:p>
    <w:p w:rsidR="0061190A" w:rsidRDefault="00CF1E23" w:rsidP="005068E5">
      <w:pPr>
        <w:jc w:val="center"/>
        <w:rPr>
          <w:sz w:val="28"/>
          <w:szCs w:val="28"/>
        </w:rPr>
      </w:pPr>
      <w:r w:rsidRPr="0033395A">
        <w:rPr>
          <w:sz w:val="28"/>
          <w:szCs w:val="28"/>
        </w:rPr>
        <w:t xml:space="preserve"> </w:t>
      </w:r>
      <w:bookmarkStart w:id="1" w:name="OLE_LINK3"/>
      <w:bookmarkStart w:id="2" w:name="OLE_LINK4"/>
      <w:r>
        <w:rPr>
          <w:sz w:val="28"/>
          <w:szCs w:val="28"/>
        </w:rPr>
        <w:t>на п</w:t>
      </w:r>
      <w:r w:rsidR="001D360B" w:rsidRPr="00CF1E23">
        <w:rPr>
          <w:sz w:val="28"/>
          <w:szCs w:val="28"/>
        </w:rPr>
        <w:t xml:space="preserve">остановление Администрации города от 31.08.2023 № 4228 «Об утверждении требований к разработке эскизного проекта некапитального строения, сооружения </w:t>
      </w:r>
      <w:r w:rsidR="00823186">
        <w:rPr>
          <w:sz w:val="28"/>
          <w:szCs w:val="28"/>
        </w:rPr>
        <w:br/>
      </w:r>
      <w:r w:rsidR="001D360B" w:rsidRPr="00CF1E23">
        <w:rPr>
          <w:sz w:val="28"/>
          <w:szCs w:val="28"/>
        </w:rPr>
        <w:t>и порядка согласования эскизного проекта</w:t>
      </w:r>
      <w:r w:rsidR="00823186">
        <w:rPr>
          <w:sz w:val="28"/>
          <w:szCs w:val="28"/>
        </w:rPr>
        <w:t xml:space="preserve"> </w:t>
      </w:r>
      <w:r w:rsidR="001D360B" w:rsidRPr="00CF1E23">
        <w:rPr>
          <w:sz w:val="28"/>
          <w:szCs w:val="28"/>
        </w:rPr>
        <w:t xml:space="preserve"> некапитального строения, </w:t>
      </w:r>
      <w:r w:rsidR="00823186">
        <w:rPr>
          <w:sz w:val="28"/>
          <w:szCs w:val="28"/>
        </w:rPr>
        <w:br/>
      </w:r>
      <w:r w:rsidR="001D360B" w:rsidRPr="00CF1E23">
        <w:rPr>
          <w:sz w:val="28"/>
          <w:szCs w:val="28"/>
        </w:rPr>
        <w:t>сооружения на территории города Сургута»</w:t>
      </w:r>
      <w:bookmarkEnd w:id="1"/>
      <w:bookmarkEnd w:id="2"/>
    </w:p>
    <w:p w:rsidR="00CF1E23" w:rsidRPr="00CF1E23" w:rsidRDefault="00CF1E23" w:rsidP="00CF1E23">
      <w:pPr>
        <w:jc w:val="center"/>
        <w:rPr>
          <w:sz w:val="28"/>
          <w:szCs w:val="28"/>
        </w:rPr>
      </w:pPr>
      <w:bookmarkStart w:id="3" w:name="OLE_LINK5"/>
      <w:bookmarkStart w:id="4" w:name="OLE_LINK6"/>
      <w:r>
        <w:rPr>
          <w:sz w:val="28"/>
          <w:szCs w:val="28"/>
        </w:rPr>
        <w:t>(</w:t>
      </w:r>
      <w:hyperlink r:id="rId8" w:anchor="npa=70414" w:history="1">
        <w:r w:rsidRPr="00CF1E23">
          <w:rPr>
            <w:rStyle w:val="a8"/>
            <w:color w:val="auto"/>
            <w:sz w:val="28"/>
            <w:szCs w:val="28"/>
            <w:lang w:val="en-US"/>
          </w:rPr>
          <w:t>https</w:t>
        </w:r>
        <w:r w:rsidRPr="00CF1E23">
          <w:rPr>
            <w:rStyle w:val="a8"/>
            <w:color w:val="auto"/>
            <w:sz w:val="28"/>
            <w:szCs w:val="28"/>
          </w:rPr>
          <w:t>://</w:t>
        </w:r>
        <w:r w:rsidRPr="00CF1E23">
          <w:rPr>
            <w:rStyle w:val="a8"/>
            <w:color w:val="auto"/>
            <w:sz w:val="28"/>
            <w:szCs w:val="28"/>
            <w:lang w:val="en-US"/>
          </w:rPr>
          <w:t>regulation</w:t>
        </w:r>
        <w:r w:rsidRPr="00CF1E23">
          <w:rPr>
            <w:rStyle w:val="a8"/>
            <w:color w:val="auto"/>
            <w:sz w:val="28"/>
            <w:szCs w:val="28"/>
          </w:rPr>
          <w:t>.</w:t>
        </w:r>
        <w:r w:rsidRPr="00CF1E23">
          <w:rPr>
            <w:rStyle w:val="a8"/>
            <w:color w:val="auto"/>
            <w:sz w:val="28"/>
            <w:szCs w:val="28"/>
            <w:lang w:val="en-US"/>
          </w:rPr>
          <w:t>admhmao</w:t>
        </w:r>
        <w:r w:rsidRPr="00CF1E23">
          <w:rPr>
            <w:rStyle w:val="a8"/>
            <w:color w:val="auto"/>
            <w:sz w:val="28"/>
            <w:szCs w:val="28"/>
          </w:rPr>
          <w:t>.</w:t>
        </w:r>
        <w:r w:rsidRPr="00CF1E23">
          <w:rPr>
            <w:rStyle w:val="a8"/>
            <w:color w:val="auto"/>
            <w:sz w:val="28"/>
            <w:szCs w:val="28"/>
            <w:lang w:val="en-US"/>
          </w:rPr>
          <w:t>ru</w:t>
        </w:r>
        <w:r w:rsidRPr="00CF1E23">
          <w:rPr>
            <w:rStyle w:val="a8"/>
            <w:color w:val="auto"/>
            <w:sz w:val="28"/>
            <w:szCs w:val="28"/>
          </w:rPr>
          <w:t>/</w:t>
        </w:r>
        <w:r w:rsidRPr="00CF1E23">
          <w:rPr>
            <w:rStyle w:val="a8"/>
            <w:color w:val="auto"/>
            <w:sz w:val="28"/>
            <w:szCs w:val="28"/>
            <w:lang w:val="en-US"/>
          </w:rPr>
          <w:t>projects</w:t>
        </w:r>
        <w:r w:rsidRPr="00CF1E23">
          <w:rPr>
            <w:rStyle w:val="a8"/>
            <w:color w:val="auto"/>
            <w:sz w:val="28"/>
            <w:szCs w:val="28"/>
          </w:rPr>
          <w:t>#</w:t>
        </w:r>
        <w:r w:rsidRPr="00CF1E23">
          <w:rPr>
            <w:rStyle w:val="a8"/>
            <w:color w:val="auto"/>
            <w:sz w:val="28"/>
            <w:szCs w:val="28"/>
            <w:lang w:val="en-US"/>
          </w:rPr>
          <w:t>npa</w:t>
        </w:r>
        <w:r w:rsidRPr="00CF1E23">
          <w:rPr>
            <w:rStyle w:val="a8"/>
            <w:color w:val="auto"/>
            <w:sz w:val="28"/>
            <w:szCs w:val="28"/>
          </w:rPr>
          <w:t>=70414</w:t>
        </w:r>
        <w:bookmarkEnd w:id="3"/>
        <w:bookmarkEnd w:id="4"/>
      </w:hyperlink>
      <w:r>
        <w:rPr>
          <w:sz w:val="28"/>
          <w:szCs w:val="28"/>
        </w:rPr>
        <w:t>)</w:t>
      </w:r>
    </w:p>
    <w:p w:rsidR="00CF1E23" w:rsidRPr="0033395A" w:rsidRDefault="00CF1E23" w:rsidP="005068E5">
      <w:pPr>
        <w:jc w:val="center"/>
        <w:rPr>
          <w:sz w:val="28"/>
          <w:szCs w:val="28"/>
        </w:rPr>
      </w:pPr>
    </w:p>
    <w:p w:rsidR="00980900" w:rsidRPr="0033395A" w:rsidRDefault="00980900" w:rsidP="00980900">
      <w:pPr>
        <w:jc w:val="center"/>
        <w:rPr>
          <w:sz w:val="28"/>
          <w:szCs w:val="28"/>
        </w:rPr>
      </w:pPr>
    </w:p>
    <w:p w:rsidR="00272233" w:rsidRPr="0033395A" w:rsidRDefault="00272233" w:rsidP="00272233">
      <w:r w:rsidRPr="001D360B">
        <w:rPr>
          <w:sz w:val="22"/>
          <w:szCs w:val="22"/>
          <w:lang w:val="en-US"/>
        </w:rPr>
        <w:t>ID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проекта</w:t>
      </w:r>
      <w:r w:rsidRPr="0033395A">
        <w:rPr>
          <w:sz w:val="22"/>
          <w:szCs w:val="22"/>
        </w:rPr>
        <w:t>:</w:t>
      </w:r>
      <w:r w:rsidRPr="0033395A">
        <w:t xml:space="preserve"> </w:t>
      </w:r>
      <w:r w:rsidR="001D360B" w:rsidRPr="00CF1E23">
        <w:rPr>
          <w:b/>
          <w:sz w:val="22"/>
          <w:szCs w:val="22"/>
        </w:rPr>
        <w:t>03/20/03-25/00070414</w:t>
      </w:r>
    </w:p>
    <w:p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1D360B" w:rsidRPr="001D360B">
        <w:rPr>
          <w:b/>
          <w:sz w:val="22"/>
          <w:szCs w:val="22"/>
        </w:rPr>
        <w:t xml:space="preserve">03.03.2025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CF1E23">
        <w:rPr>
          <w:b/>
          <w:sz w:val="22"/>
          <w:szCs w:val="22"/>
        </w:rPr>
        <w:t>14</w:t>
      </w:r>
      <w:r w:rsidR="001D360B" w:rsidRPr="001D360B">
        <w:rPr>
          <w:b/>
          <w:sz w:val="22"/>
          <w:szCs w:val="22"/>
        </w:rPr>
        <w:t>.0</w:t>
      </w:r>
      <w:r w:rsidR="00CF1E23">
        <w:rPr>
          <w:b/>
          <w:sz w:val="22"/>
          <w:szCs w:val="22"/>
        </w:rPr>
        <w:t>3</w:t>
      </w:r>
      <w:r w:rsidR="001D360B" w:rsidRPr="001D360B">
        <w:rPr>
          <w:b/>
          <w:sz w:val="22"/>
          <w:szCs w:val="22"/>
        </w:rPr>
        <w:t>.2025</w:t>
      </w:r>
    </w:p>
    <w:p w:rsidR="00272233" w:rsidRDefault="00272233" w:rsidP="00272233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bookmarkStart w:id="5" w:name="OLE_LINK7"/>
      <w:bookmarkStart w:id="6" w:name="OLE_LINK8"/>
      <w:r w:rsidR="001D360B" w:rsidRPr="001D360B">
        <w:rPr>
          <w:b/>
          <w:sz w:val="22"/>
          <w:szCs w:val="22"/>
        </w:rPr>
        <w:t>2</w:t>
      </w:r>
      <w:bookmarkEnd w:id="5"/>
      <w:bookmarkEnd w:id="6"/>
    </w:p>
    <w:p w:rsidR="00980900" w:rsidRDefault="00980900" w:rsidP="00117C8F"/>
    <w:tbl>
      <w:tblPr>
        <w:tblStyle w:val="tablebody"/>
        <w:tblW w:w="10009" w:type="dxa"/>
        <w:tblInd w:w="50" w:type="dxa"/>
        <w:tblLayout w:type="fixed"/>
        <w:tblLook w:val="04A0" w:firstRow="1" w:lastRow="0" w:firstColumn="1" w:lastColumn="0" w:noHBand="0" w:noVBand="1"/>
      </w:tblPr>
      <w:tblGrid>
        <w:gridCol w:w="937"/>
        <w:gridCol w:w="3543"/>
        <w:gridCol w:w="5529"/>
      </w:tblGrid>
      <w:tr w:rsidR="00823186" w:rsidRPr="00A829FF" w:rsidTr="00823186">
        <w:trPr>
          <w:trHeight w:val="270"/>
        </w:trPr>
        <w:tc>
          <w:tcPr>
            <w:tcW w:w="937" w:type="dxa"/>
            <w:vAlign w:val="center"/>
          </w:tcPr>
          <w:p w:rsidR="00823186" w:rsidRPr="00A829FF" w:rsidRDefault="00823186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43" w:type="dxa"/>
            <w:vAlign w:val="center"/>
          </w:tcPr>
          <w:p w:rsidR="00823186" w:rsidRPr="00A829FF" w:rsidRDefault="00823186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5529" w:type="dxa"/>
            <w:vAlign w:val="center"/>
          </w:tcPr>
          <w:p w:rsidR="00823186" w:rsidRPr="00A829FF" w:rsidRDefault="00823186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</w:tr>
      <w:tr w:rsidR="00823186" w:rsidRPr="00A829FF" w:rsidTr="00823186">
        <w:tc>
          <w:tcPr>
            <w:tcW w:w="937" w:type="dxa"/>
          </w:tcPr>
          <w:p w:rsidR="00823186" w:rsidRPr="00A829FF" w:rsidRDefault="00823186" w:rsidP="001D36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3543" w:type="dxa"/>
          </w:tcPr>
          <w:p w:rsidR="00823186" w:rsidRPr="00A829FF" w:rsidRDefault="00823186" w:rsidP="00117C8F">
            <w:pPr>
              <w:jc w:val="center"/>
              <w:rPr>
                <w:rFonts w:ascii="Times New Roman" w:hAnsi="Times New Roman" w:cs="Times New Roman"/>
              </w:rPr>
            </w:pPr>
            <w:r w:rsidRPr="001D360B">
              <w:rPr>
                <w:rFonts w:ascii="Times New Roman" w:hAnsi="Times New Roman" w:cs="Times New Roman"/>
              </w:rPr>
              <w:t>Союз Сургутская торгово-промышленная палата star@tppsurgut.ru (star@tppsurgut.ru)</w:t>
            </w:r>
          </w:p>
        </w:tc>
        <w:tc>
          <w:tcPr>
            <w:tcW w:w="5529" w:type="dxa"/>
          </w:tcPr>
          <w:p w:rsidR="00A428FF" w:rsidRDefault="00823186" w:rsidP="001D360B">
            <w:pPr>
              <w:rPr>
                <w:rStyle w:val="pt-000004"/>
                <w:rFonts w:ascii="Times New Roman" w:hAnsi="Times New Roman" w:cs="Times New Roman"/>
              </w:rPr>
            </w:pPr>
            <w:r w:rsidRPr="001D360B">
              <w:rPr>
                <w:rStyle w:val="pt-000004"/>
                <w:rFonts w:ascii="Times New Roman" w:hAnsi="Times New Roman" w:cs="Times New Roman"/>
              </w:rPr>
              <w:t xml:space="preserve">1. Порядком предусмотрено право заявителя обратиться в Департамент архитектуры и градостроительства администрации города Сургута  (далее – Департамент) с заявлением о предварительном согласовании разбивочного плана, представляемого  при обращении в уполномоченный орган для согласования эскизного плана некапитального строения, сооружения.  На этапе предварительного согласования Департамент проверяет соблюдение требований, установленных статьей 16 и приложением 9 к Правилам благоустройства территории города Сургута, утвержденным решением Думы города от 26.12.2017 N 206-VIДГ (далее – Правила благоустройства), к месту размещения некапитального строения, сооружения. Учитывая, что в данном случае разбивочный план представляет собой графическое представление информации о расположении некапитального строения, сооружения в привязке к уже существующим объектам (здания, постройки, тротуары, дороги, лестницы, парковки, элементы благоустройства и т.д.), считаем целесообразным  установить в Постановлении, что предварительное  согласование разбивочного плана является обязательным этапом при обращении с заявлением о согласовании  эскизного проекта некапитального строения, сооружения. Введение обязанности предварительного согласования разбивочного плана позволит избежать возникновения ситуаций, при которых единичное согласование эскизного проекта, как следствие установка, некапитального строения (сооружения), сделает невозможным  </w:t>
            </w:r>
            <w:r w:rsidRPr="001D360B">
              <w:rPr>
                <w:rStyle w:val="pt-000004"/>
                <w:rFonts w:ascii="Times New Roman" w:hAnsi="Times New Roman" w:cs="Times New Roman"/>
              </w:rPr>
              <w:lastRenderedPageBreak/>
              <w:t xml:space="preserve">установку других строений (сооружений), не прошедших этап предварительного согласования разбивочного плана.  </w:t>
            </w:r>
          </w:p>
          <w:p w:rsidR="00823186" w:rsidRPr="001D360B" w:rsidRDefault="00823186" w:rsidP="001D360B">
            <w:r w:rsidRPr="001D360B">
              <w:rPr>
                <w:rStyle w:val="pt-000004"/>
                <w:rFonts w:ascii="Times New Roman" w:hAnsi="Times New Roman" w:cs="Times New Roman"/>
              </w:rPr>
              <w:t xml:space="preserve">2. В соответствии с подпунктом 2.1. Порядка Департамент на основании представленных документов в течение 30 календарных дней с даты регистрации обращения проверяет полноту (комплектность) представленных документов, установленных пунктом 1 раздела II Порядка, рассматривает документацию на предмет соответствия некапитального строения, сооружения и места его размещения требованиям, установленным Правилами благоустройства, правоустанавливающие документы на земельный участок путем межведомственных запросов. Между тем, в отношении остановочных комплексов с торговой площадью Порядком предусмотрен иной срок согласования – 9 рабочих дней с момента получения документов уполномоченным органом. Считаем, что предусмотренный 30-дневный срок может привести к затягиванию планируемых сроков установки некапитального строения, сооружения, отложению срока начала осуществления предпринимательской деятельности, как следствие, возникновению дополнительных расходов, в случае  повторного направления документов на согласование после устранения замечаний, послуживших основанием для отказа в согласовании эскизного проекта.  По мнению Сургутской ТПП оптимальный срок для рассмотрения уполномоченным органом представленных заявителем документов и принятия решения – от 10 до 15 календарных дней, установление указанного срока обеспечит оперативное рассмотрение документов, представленных заявителем, а также позволит избежать наступления для субъекта предпринимательской деятельности  вышеуказанных негативных последствий. Учитывая вышеизложенное, считаем, что действующая редакция Постановления может повлечь нарушение прав и законных интересов предпринимателей, обратившихся за согласованием эскизного проекта некапитального строения, сооружения. Вывод: Сургутская торгово-промышленная палата считает целесообразным учесть указанные в настоящем отзыве предложения к постановлению </w:t>
            </w:r>
            <w:r w:rsidRPr="001D360B">
              <w:rPr>
                <w:rStyle w:val="pt-000004"/>
                <w:rFonts w:ascii="Times New Roman" w:hAnsi="Times New Roman" w:cs="Times New Roman"/>
              </w:rPr>
              <w:lastRenderedPageBreak/>
              <w:t>Администрации города от 31.08.2023 N 4228 «Об утверждении требований к разработке эскизного проекта некапитального строения, сооружения и порядка согласования эскизного проекта некапитального строения, сооружения на территории города Сургута» в соответствии предложениями СТПП.    Зарегистрировано в реестре отзывов Сургутской ТПП за № 02-Э от 11.03.2025.</w:t>
            </w:r>
          </w:p>
        </w:tc>
      </w:tr>
      <w:tr w:rsidR="00823186" w:rsidRPr="00A829FF" w:rsidTr="00823186">
        <w:tc>
          <w:tcPr>
            <w:tcW w:w="937" w:type="dxa"/>
            <w:vMerge w:val="restart"/>
          </w:tcPr>
          <w:p w:rsidR="00823186" w:rsidRPr="00A829FF" w:rsidRDefault="00823186" w:rsidP="001D36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2.</w:t>
            </w:r>
          </w:p>
        </w:tc>
        <w:tc>
          <w:tcPr>
            <w:tcW w:w="3543" w:type="dxa"/>
            <w:vMerge w:val="restart"/>
          </w:tcPr>
          <w:p w:rsidR="00823186" w:rsidRPr="00A829FF" w:rsidRDefault="00823186" w:rsidP="00117C8F">
            <w:pPr>
              <w:jc w:val="center"/>
              <w:rPr>
                <w:rFonts w:ascii="Times New Roman" w:hAnsi="Times New Roman" w:cs="Times New Roman"/>
              </w:rPr>
            </w:pPr>
            <w:r w:rsidRPr="001D360B">
              <w:rPr>
                <w:rFonts w:ascii="Times New Roman" w:hAnsi="Times New Roman" w:cs="Times New Roman"/>
              </w:rPr>
              <w:t>Лукьянчук Александр  (909470@mail.ru)</w:t>
            </w:r>
          </w:p>
        </w:tc>
        <w:tc>
          <w:tcPr>
            <w:tcW w:w="5529" w:type="dxa"/>
          </w:tcPr>
          <w:p w:rsidR="00823186" w:rsidRPr="001D360B" w:rsidRDefault="00823186" w:rsidP="001D360B">
            <w:r w:rsidRPr="001D360B">
              <w:rPr>
                <w:rStyle w:val="pt-000004"/>
                <w:rFonts w:ascii="Times New Roman" w:hAnsi="Times New Roman" w:cs="Times New Roman"/>
              </w:rPr>
              <w:t>Да, данный документ позволяет регламентировать архитектурный облик некапитальных объектов, что очень важно в рамках динамично развивающегося города.</w:t>
            </w:r>
          </w:p>
        </w:tc>
      </w:tr>
      <w:tr w:rsidR="00823186" w:rsidRPr="00A829FF" w:rsidTr="00823186">
        <w:tc>
          <w:tcPr>
            <w:tcW w:w="937" w:type="dxa"/>
            <w:vMerge/>
          </w:tcPr>
          <w:p w:rsidR="00823186" w:rsidRPr="00A829FF" w:rsidRDefault="00823186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823186" w:rsidRPr="00A829FF" w:rsidRDefault="00823186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823186" w:rsidRPr="001D360B" w:rsidRDefault="00823186" w:rsidP="001D360B">
            <w:r w:rsidRPr="001D360B">
              <w:rPr>
                <w:rStyle w:val="pt-000004"/>
                <w:rFonts w:ascii="Times New Roman" w:hAnsi="Times New Roman" w:cs="Times New Roman"/>
              </w:rPr>
              <w:t>Нет</w:t>
            </w:r>
          </w:p>
        </w:tc>
      </w:tr>
      <w:tr w:rsidR="00823186" w:rsidRPr="00A829FF" w:rsidTr="00823186">
        <w:tc>
          <w:tcPr>
            <w:tcW w:w="937" w:type="dxa"/>
            <w:vMerge/>
          </w:tcPr>
          <w:p w:rsidR="00823186" w:rsidRPr="00A829FF" w:rsidRDefault="00823186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823186" w:rsidRPr="00A829FF" w:rsidRDefault="00823186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823186" w:rsidRPr="001D360B" w:rsidRDefault="00823186" w:rsidP="001D360B">
            <w:r w:rsidRPr="001D360B">
              <w:rPr>
                <w:rStyle w:val="pt-000004"/>
                <w:rFonts w:ascii="Times New Roman" w:hAnsi="Times New Roman" w:cs="Times New Roman"/>
              </w:rPr>
              <w:t>На мой взгляд нет, не существует.</w:t>
            </w:r>
          </w:p>
        </w:tc>
      </w:tr>
      <w:tr w:rsidR="00823186" w:rsidRPr="00A829FF" w:rsidTr="00823186">
        <w:tc>
          <w:tcPr>
            <w:tcW w:w="937" w:type="dxa"/>
            <w:vMerge/>
          </w:tcPr>
          <w:p w:rsidR="00823186" w:rsidRPr="00A829FF" w:rsidRDefault="00823186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823186" w:rsidRPr="00A829FF" w:rsidRDefault="00823186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823186" w:rsidRPr="001D360B" w:rsidRDefault="00823186" w:rsidP="001D360B">
            <w:r w:rsidRPr="001D360B">
              <w:rPr>
                <w:rStyle w:val="pt-000004"/>
                <w:rFonts w:ascii="Times New Roman" w:hAnsi="Times New Roman" w:cs="Times New Roman"/>
              </w:rPr>
              <w:t>Отражены в полном объеме</w:t>
            </w:r>
          </w:p>
        </w:tc>
      </w:tr>
      <w:tr w:rsidR="00823186" w:rsidRPr="00A829FF" w:rsidTr="00823186">
        <w:tc>
          <w:tcPr>
            <w:tcW w:w="937" w:type="dxa"/>
            <w:vMerge/>
          </w:tcPr>
          <w:p w:rsidR="00823186" w:rsidRPr="00A829FF" w:rsidRDefault="00823186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823186" w:rsidRPr="00A829FF" w:rsidRDefault="00823186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823186" w:rsidRPr="001D360B" w:rsidRDefault="00823186" w:rsidP="001D360B">
            <w:r w:rsidRPr="001D360B">
              <w:rPr>
                <w:rStyle w:val="pt-000004"/>
                <w:rFonts w:ascii="Times New Roman" w:hAnsi="Times New Roman" w:cs="Times New Roman"/>
              </w:rPr>
              <w:t>Нет</w:t>
            </w:r>
          </w:p>
        </w:tc>
      </w:tr>
      <w:tr w:rsidR="00823186" w:rsidRPr="00A829FF" w:rsidTr="00823186">
        <w:tc>
          <w:tcPr>
            <w:tcW w:w="937" w:type="dxa"/>
            <w:vMerge/>
          </w:tcPr>
          <w:p w:rsidR="00823186" w:rsidRPr="00A829FF" w:rsidRDefault="00823186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823186" w:rsidRPr="00A829FF" w:rsidRDefault="00823186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823186" w:rsidRPr="001D360B" w:rsidRDefault="00823186" w:rsidP="001D360B">
            <w:r w:rsidRPr="001D360B">
              <w:rPr>
                <w:rStyle w:val="pt-000004"/>
                <w:rFonts w:ascii="Times New Roman" w:hAnsi="Times New Roman" w:cs="Times New Roman"/>
              </w:rPr>
              <w:t>нет</w:t>
            </w:r>
          </w:p>
        </w:tc>
      </w:tr>
    </w:tbl>
    <w:p w:rsidR="00272233" w:rsidRPr="00B17966" w:rsidRDefault="00272233" w:rsidP="00117C8F">
      <w:pPr>
        <w:rPr>
          <w:sz w:val="28"/>
          <w:szCs w:val="28"/>
        </w:rPr>
      </w:pPr>
    </w:p>
    <w:p w:rsidR="00B53590" w:rsidRPr="00B17966" w:rsidRDefault="00B53590" w:rsidP="00117C8F">
      <w:pPr>
        <w:rPr>
          <w:sz w:val="28"/>
          <w:szCs w:val="28"/>
        </w:rPr>
      </w:pPr>
    </w:p>
    <w:sectPr w:rsidR="00B53590" w:rsidRPr="00B17966" w:rsidSect="00823186">
      <w:headerReference w:type="even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3AA" w:rsidRDefault="006C63AA">
      <w:r>
        <w:separator/>
      </w:r>
    </w:p>
  </w:endnote>
  <w:endnote w:type="continuationSeparator" w:id="0">
    <w:p w:rsidR="006C63AA" w:rsidRDefault="006C6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altName w:val=" Helvetica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3AA" w:rsidRDefault="006C63AA">
      <w:r>
        <w:separator/>
      </w:r>
    </w:p>
  </w:footnote>
  <w:footnote w:type="continuationSeparator" w:id="0">
    <w:p w:rsidR="006C63AA" w:rsidRDefault="006C63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3AA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145B"/>
    <w:rsid w:val="007425E2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7398"/>
    <w:rsid w:val="0079789A"/>
    <w:rsid w:val="007A0A0D"/>
    <w:rsid w:val="007A0EBE"/>
    <w:rsid w:val="007A1F13"/>
    <w:rsid w:val="007A32A8"/>
    <w:rsid w:val="007A3FBB"/>
    <w:rsid w:val="007A4385"/>
    <w:rsid w:val="007A4D26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18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8FF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E23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EF2"/>
    <w:rsid w:val="00DA7400"/>
    <w:rsid w:val="00DA76BB"/>
    <w:rsid w:val="00DA7D16"/>
    <w:rsid w:val="00DB005D"/>
    <w:rsid w:val="00DB1417"/>
    <w:rsid w:val="00DB1573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77C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888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E0A"/>
    <w:rsid w:val="00FD045A"/>
    <w:rsid w:val="00FD05FE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D1ABC6-EC52-4601-8583-BA47A87CE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gulation.admhmao.ru/project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2A97F-B334-4B84-8B7C-ADF2559C4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Головина Наталья Сергеевна</cp:lastModifiedBy>
  <cp:revision>2</cp:revision>
  <cp:lastPrinted>2015-05-12T12:20:00Z</cp:lastPrinted>
  <dcterms:created xsi:type="dcterms:W3CDTF">2025-05-05T13:33:00Z</dcterms:created>
  <dcterms:modified xsi:type="dcterms:W3CDTF">2025-05-05T13:33:00Z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